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273" w:rsidRDefault="003D1273" w:rsidP="003D1273">
      <w:pPr>
        <w:spacing w:after="1" w:line="220" w:lineRule="auto"/>
        <w:ind w:firstLine="540"/>
        <w:jc w:val="both"/>
        <w:outlineLvl w:val="0"/>
      </w:pPr>
      <w:r>
        <w:rPr>
          <w:rFonts w:ascii="Calibri" w:hAnsi="Calibri" w:cs="Calibri"/>
          <w:b/>
        </w:rPr>
        <w:t>ТЕХНИЧЕСКОЕ РЕГУЛИРОВАНИЕ</w:t>
      </w:r>
    </w:p>
    <w:p w:rsidR="003D1273" w:rsidRDefault="003D1273" w:rsidP="003D1273">
      <w:pPr>
        <w:spacing w:after="1" w:line="220" w:lineRule="auto"/>
        <w:ind w:firstLine="540"/>
        <w:jc w:val="both"/>
      </w:pPr>
    </w:p>
    <w:p w:rsidR="003D1273" w:rsidRDefault="003D1273" w:rsidP="003D1273">
      <w:pPr>
        <w:spacing w:after="1" w:line="220" w:lineRule="auto"/>
        <w:ind w:firstLine="540"/>
        <w:jc w:val="both"/>
      </w:pPr>
      <w:bookmarkStart w:id="0" w:name="_GoBack"/>
      <w:r>
        <w:rPr>
          <w:rFonts w:ascii="Calibri" w:hAnsi="Calibri" w:cs="Calibri"/>
          <w:b/>
        </w:rPr>
        <w:t>Внесены изменения в технический регламент Таможенного союза "О безопасности игрушек"</w:t>
      </w:r>
      <w:bookmarkEnd w:id="0"/>
      <w:r>
        <w:rPr>
          <w:rFonts w:ascii="Calibri" w:hAnsi="Calibri" w:cs="Calibri"/>
          <w:b/>
        </w:rPr>
        <w:t xml:space="preserve"> </w:t>
      </w:r>
      <w:hyperlink r:id="rId4">
        <w:r>
          <w:rPr>
            <w:rFonts w:ascii="Calibri" w:hAnsi="Calibri" w:cs="Calibri"/>
            <w:b/>
            <w:color w:val="0000FF"/>
          </w:rPr>
          <w:t>(ТР ТС 008/2011)</w:t>
        </w:r>
      </w:hyperlink>
      <w:r>
        <w:rPr>
          <w:rFonts w:ascii="Calibri" w:hAnsi="Calibri" w:cs="Calibri"/>
          <w:b/>
        </w:rPr>
        <w:t xml:space="preserve"> </w:t>
      </w:r>
    </w:p>
    <w:p w:rsidR="003D1273" w:rsidRDefault="003D1273" w:rsidP="003D127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Уточняется </w:t>
      </w:r>
      <w:hyperlink r:id="rId5">
        <w:r>
          <w:rPr>
            <w:rFonts w:ascii="Calibri" w:hAnsi="Calibri" w:cs="Calibri"/>
            <w:color w:val="0000FF"/>
          </w:rPr>
          <w:t>область применения</w:t>
        </w:r>
      </w:hyperlink>
      <w:r>
        <w:rPr>
          <w:rFonts w:ascii="Calibri" w:hAnsi="Calibri" w:cs="Calibri"/>
        </w:rPr>
        <w:t xml:space="preserve"> технического регламента, скорректирован понятийный </w:t>
      </w:r>
      <w:hyperlink r:id="rId6">
        <w:r>
          <w:rPr>
            <w:rFonts w:ascii="Calibri" w:hAnsi="Calibri" w:cs="Calibri"/>
            <w:color w:val="0000FF"/>
          </w:rPr>
          <w:t>аппарат</w:t>
        </w:r>
      </w:hyperlink>
      <w:r>
        <w:rPr>
          <w:rFonts w:ascii="Calibri" w:hAnsi="Calibri" w:cs="Calibri"/>
        </w:rPr>
        <w:t>.</w:t>
      </w:r>
    </w:p>
    <w:p w:rsidR="003D1273" w:rsidRDefault="003D1273" w:rsidP="003D127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Изменено регулирование в сфере </w:t>
      </w:r>
      <w:hyperlink r:id="rId7">
        <w:r>
          <w:rPr>
            <w:rFonts w:ascii="Calibri" w:hAnsi="Calibri" w:cs="Calibri"/>
            <w:color w:val="0000FF"/>
          </w:rPr>
          <w:t>оценки</w:t>
        </w:r>
      </w:hyperlink>
      <w:r>
        <w:rPr>
          <w:rFonts w:ascii="Calibri" w:hAnsi="Calibri" w:cs="Calibri"/>
        </w:rPr>
        <w:t xml:space="preserve"> соответствия. Например, предусмотрена </w:t>
      </w:r>
      <w:hyperlink r:id="rId8">
        <w:r>
          <w:rPr>
            <w:rFonts w:ascii="Calibri" w:hAnsi="Calibri" w:cs="Calibri"/>
            <w:color w:val="0000FF"/>
          </w:rPr>
          <w:t>возможность</w:t>
        </w:r>
      </w:hyperlink>
      <w:r>
        <w:rPr>
          <w:rFonts w:ascii="Calibri" w:hAnsi="Calibri" w:cs="Calibri"/>
        </w:rPr>
        <w:t xml:space="preserve"> использования результатов исследований (испытаний) и измерений образцов (типовых образцов) игрушек для последующих партий аналогичной продукции. В этом случае орган по сертификации продукции проводит идентификацию партии игрушек для установления ее аналогичности по отношению к продукции, на которую ранее был выдан сертификат соответствия. Если органом по сертификации продукции установлена аналогичность партии игрушек по отношению к продукции, на которую ранее был выдан сертификат соответствия, отбор образцов (типовых образцов) игрушек из партии, а также исследования (испытания) и измерения игрушек не проводятся. Срок действия используемого протокола исследований (испытаний) и измерений игрушек составляет не более 1 года с даты его утверждения.</w:t>
      </w:r>
    </w:p>
    <w:p w:rsidR="003D1273" w:rsidRDefault="003D1273" w:rsidP="003D127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Установлены </w:t>
      </w:r>
      <w:hyperlink r:id="rId9">
        <w:r>
          <w:rPr>
            <w:rFonts w:ascii="Calibri" w:hAnsi="Calibri" w:cs="Calibri"/>
            <w:color w:val="0000FF"/>
          </w:rPr>
          <w:t>методы</w:t>
        </w:r>
      </w:hyperlink>
      <w:r>
        <w:rPr>
          <w:rFonts w:ascii="Calibri" w:hAnsi="Calibri" w:cs="Calibri"/>
        </w:rPr>
        <w:t xml:space="preserve"> идентификации игрушек.</w:t>
      </w:r>
    </w:p>
    <w:p w:rsidR="003D1273" w:rsidRDefault="003D1273" w:rsidP="003D127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При внесении в конструкцию (в том числе в применяемые материалы) игрушек или технологию их производства изменений, которые могут повлиять на соответствие продукции требованиям технического регламента, заявитель до внесения таких изменений </w:t>
      </w:r>
      <w:hyperlink r:id="rId10">
        <w:r>
          <w:rPr>
            <w:rFonts w:ascii="Calibri" w:hAnsi="Calibri" w:cs="Calibri"/>
            <w:color w:val="0000FF"/>
          </w:rPr>
          <w:t>извещает</w:t>
        </w:r>
      </w:hyperlink>
      <w:r>
        <w:rPr>
          <w:rFonts w:ascii="Calibri" w:hAnsi="Calibri" w:cs="Calibri"/>
        </w:rPr>
        <w:t xml:space="preserve"> об этом в письменной форме орган по сертификации продукции, выдавший сертификат соответствия. Указанным органом принимается решение о необходимости проведения дополнительных исследований (испытаний) и измерений образцов (типовых образцов) игрушек или анализа состояния производства.</w:t>
      </w:r>
    </w:p>
    <w:p w:rsidR="003D1273" w:rsidRDefault="003D1273" w:rsidP="003D127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Также предусмотрена </w:t>
      </w:r>
      <w:hyperlink r:id="rId11">
        <w:r>
          <w:rPr>
            <w:rFonts w:ascii="Calibri" w:hAnsi="Calibri" w:cs="Calibri"/>
            <w:color w:val="0000FF"/>
          </w:rPr>
          <w:t>возможность</w:t>
        </w:r>
      </w:hyperlink>
      <w:r>
        <w:rPr>
          <w:rFonts w:ascii="Calibri" w:hAnsi="Calibri" w:cs="Calibri"/>
        </w:rPr>
        <w:t xml:space="preserve"> хранения заявления и копий зарегистрированного сертификата соответствия и комплекта доказательственных материалов в электронном виде.</w:t>
      </w:r>
    </w:p>
    <w:p w:rsidR="003D1273" w:rsidRDefault="003D1273" w:rsidP="003D127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Документы, составленные на иностранном языке и включенные в комплект доказательственных материалов, сопровождаются переводом на русский язык или в случае наличия соответствующего требования законодательства государства - члена ЕАЭС - на государственный язык государства - члена ЕАЭС, в котором сертифицируются игрушки.</w:t>
      </w:r>
    </w:p>
    <w:p w:rsidR="003D1273" w:rsidRDefault="003D1273" w:rsidP="003D127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Установлен </w:t>
      </w:r>
      <w:hyperlink r:id="rId12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введения в действие указанных изменений. В частности, предусмотрено, что документы об оценке соответствия игрушек требованиям, установленным техническим регламентом, выданные или принятые до 27 июля 2024 года, действительны до окончания срока их действия.</w:t>
      </w:r>
    </w:p>
    <w:p w:rsidR="003D1273" w:rsidRDefault="003D1273" w:rsidP="003D1273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 xml:space="preserve">Начало действия </w:t>
      </w:r>
      <w:r>
        <w:rPr>
          <w:rFonts w:ascii="Calibri" w:hAnsi="Calibri" w:cs="Calibri"/>
          <w:color w:val="0000FF"/>
        </w:rPr>
        <w:t>Решения</w:t>
      </w:r>
      <w:r>
        <w:rPr>
          <w:rFonts w:ascii="Calibri" w:hAnsi="Calibri" w:cs="Calibri"/>
        </w:rPr>
        <w:t xml:space="preserve"> Совета Евразийской экономической комиссии от 26.01.2024 N 5, </w:t>
      </w:r>
      <w:r>
        <w:rPr>
          <w:rFonts w:ascii="Calibri" w:hAnsi="Calibri" w:cs="Calibri"/>
        </w:rPr>
        <w:t>я</w:t>
      </w:r>
      <w:hyperlink r:id="rId13"/>
      <w:r>
        <w:rPr>
          <w:rFonts w:ascii="Calibri" w:hAnsi="Calibri" w:cs="Calibri"/>
        </w:rPr>
        <w:t xml:space="preserve"> Коллегии Евразийской экономической комиссии от 26.03.2024 N 30</w:t>
      </w:r>
      <w:r>
        <w:rPr>
          <w:rFonts w:ascii="Calibri" w:hAnsi="Calibri" w:cs="Calibri"/>
        </w:rPr>
        <w:t xml:space="preserve"> - </w:t>
      </w:r>
      <w:r>
        <w:rPr>
          <w:rFonts w:ascii="Calibri" w:hAnsi="Calibri" w:cs="Calibri"/>
          <w:b/>
        </w:rPr>
        <w:t>27.07.2024</w:t>
      </w:r>
    </w:p>
    <w:p w:rsidR="0020129E" w:rsidRDefault="0020129E"/>
    <w:sectPr w:rsidR="0020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29"/>
    <w:rsid w:val="001F0E29"/>
    <w:rsid w:val="0020129E"/>
    <w:rsid w:val="003D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8A22C-3420-42AD-B69C-94722CF0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307&amp;dst=984" TargetMode="External"/><Relationship Id="rId13" Type="http://schemas.openxmlformats.org/officeDocument/2006/relationships/hyperlink" Target="https://login.consultant.ru/link/?req=doc&amp;base=LAW&amp;n=4732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8307&amp;dst=923" TargetMode="External"/><Relationship Id="rId12" Type="http://schemas.openxmlformats.org/officeDocument/2006/relationships/hyperlink" Target="https://login.consultant.ru/link/?req=doc&amp;base=LAW&amp;n=4732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8307&amp;dst=100032" TargetMode="External"/><Relationship Id="rId11" Type="http://schemas.openxmlformats.org/officeDocument/2006/relationships/hyperlink" Target="https://login.consultant.ru/link/?req=doc&amp;base=LAW&amp;n=468307&amp;dst=1012" TargetMode="External"/><Relationship Id="rId5" Type="http://schemas.openxmlformats.org/officeDocument/2006/relationships/hyperlink" Target="https://login.consultant.ru/link/?req=doc&amp;base=LAW&amp;n=468307&amp;dst=1000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307&amp;dst=1002" TargetMode="External"/><Relationship Id="rId4" Type="http://schemas.openxmlformats.org/officeDocument/2006/relationships/hyperlink" Target="https://login.consultant.ru/link/?req=doc&amp;base=LAW&amp;n=468307&amp;dst=100022" TargetMode="External"/><Relationship Id="rId9" Type="http://schemas.openxmlformats.org/officeDocument/2006/relationships/hyperlink" Target="https://login.consultant.ru/link/?req=doc&amp;base=LAW&amp;n=468307&amp;dst=98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2024-08-09T08:21:00Z</dcterms:created>
  <dcterms:modified xsi:type="dcterms:W3CDTF">2024-08-09T08:22:00Z</dcterms:modified>
</cp:coreProperties>
</file>